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Churchill Capital Corp XI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RichRich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INDIANA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1,480,100.00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1,480,100.00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1,480,100.00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Huang Capital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612,900.00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612,900.00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612,900.00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Huang Rich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352,300.00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2,093,000.00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352,300.00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2,093,000.00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2,445,300.00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Churchill Capital Corp XI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679"/>
        <w:spacing w:after="0"/>
        <w:rPr>
          <w:sz w:val="20"/>
          <w:szCs w:val="20"/>
          <w:color w:val="auto"/>
        </w:rPr>
      </w:pPr>
      <w:r>
        <w:rPr>
          <w:rFonts w:ascii="Times New Roman" w:cs="Times New Roman" w:eastAsia="Times New Roman" w:hAnsi="Times New Roman"/>
          <w:sz w:val="22"/>
          <w:szCs w:val="22"/>
          <w:color w:val="auto"/>
        </w:rPr>
        <w:t>640 FIFTH AVENUE 12TH FLOOR, NEW YORK, NY 10019</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RichRich Capital LLC ("RichRich") Huang Capital Inc. ("Huang Capital") Rich Huang ("Mr. Huang") Each of the foregoing is referred to as a "Reporting Person" and collectively as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RichRich Capital LLC 1000 Brickell Plaza, Unit 2704 Miami, FL 33131 Huang Capital Inc. 1000 Brickell Plaza, Unit 2704 Miami, FL 33131 Rich Huang 1000 Brickell Plaza, Unit 2704 Miami, FL 33131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500"/>
        <w:spacing w:after="0" w:line="309" w:lineRule="auto"/>
        <w:rPr>
          <w:sz w:val="20"/>
          <w:szCs w:val="20"/>
          <w:color w:val="auto"/>
        </w:rPr>
      </w:pPr>
      <w:r>
        <w:rPr>
          <w:rFonts w:ascii="Times New Roman" w:cs="Times New Roman" w:eastAsia="Times New Roman" w:hAnsi="Times New Roman"/>
          <w:sz w:val="22"/>
          <w:szCs w:val="22"/>
          <w:color w:val="auto"/>
        </w:rPr>
        <w:t>RichRich Capital LLC Indiana Huang Capital Inc. Florida Rich Huang USA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20"/>
          </w:cols>
          <w:pgMar w:left="360" w:top="112" w:right="499" w:bottom="0" w:gutter="0" w:footer="0" w:header="0"/>
        </w:sectPr>
      </w:pPr>
    </w:p>
    <w:p>
      <w:pPr>
        <w:spacing w:after="0" w:line="33" w:lineRule="exact"/>
        <w:rPr>
          <w:sz w:val="20"/>
          <w:szCs w:val="20"/>
          <w:color w:val="auto"/>
        </w:rPr>
      </w:pPr>
    </w:p>
    <w:p>
      <w:pPr>
        <w:ind w:left="920" w:right="180"/>
        <w:spacing w:after="0" w:line="247" w:lineRule="auto"/>
        <w:rPr>
          <w:sz w:val="20"/>
          <w:szCs w:val="20"/>
          <w:color w:val="auto"/>
        </w:rPr>
      </w:pPr>
      <w:r>
        <w:rPr>
          <w:rFonts w:ascii="Times New Roman" w:cs="Times New Roman" w:eastAsia="Times New Roman" w:hAnsi="Times New Roman"/>
          <w:sz w:val="21"/>
          <w:szCs w:val="21"/>
          <w:color w:val="auto"/>
        </w:rPr>
        <w:t>As of October 28, 2026, RichRich beneficially owned 1,480,100 Class A Ordinary Shares, which consists of 1,480,100 Class A Ordinary Shares underlying call options. Mr. Huang, as the sole member of RichRich, may be deemed to beneficially own the Issuer's securities described herein beneficially owned by RichRich. As of October 28, 2026, Huang Capital beneficially owned 612,900 Class A Ordinary Shares, which consists of 612,900 Class A</w:t>
      </w:r>
    </w:p>
    <w:p>
      <w:pPr>
        <w:spacing w:after="0" w:line="2" w:lineRule="exact"/>
        <w:rPr>
          <w:sz w:val="20"/>
          <w:szCs w:val="20"/>
          <w:color w:val="auto"/>
        </w:rPr>
      </w:pPr>
    </w:p>
    <w:p>
      <w:pPr>
        <w:ind w:left="920" w:hanging="912"/>
        <w:spacing w:after="0" w:line="215"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Ordinary Shares underlying call options. Mr. Huang, as the sole director and sole officer of Huang Capital, may be deemed to beneficially own the Issuer's securities described herein beneficially owned by Huang Capital. Mr. Huang also may be deemed to be the beneficial owner of 352,300 Class A Ordinary Shares, which are held by Mr. Huang in his IRA account, which consists of 352,300 Class A Ordinary Shares underlying call options. The foregoing should not be construed in and of itself as an admission by any Reporting Person as to beneficial ownership of any Class A Ordinary Shares owned by another Reporting Person or any other person. Mr. Huang disclaims beneficial ownership of the Class A Ordinary Shares beneficially owned by RichRich and Huang Capital. The filing of this statement shall not be construed as an admission that any such person or entity is the beneficial owner of any such securities. Percent of class:</w:t>
      </w:r>
    </w:p>
    <w:p>
      <w:pPr>
        <w:spacing w:after="0" w:line="204" w:lineRule="exact"/>
        <w:rPr>
          <w:rFonts w:ascii="Times New Roman" w:cs="Times New Roman" w:eastAsia="Times New Roman" w:hAnsi="Times New Roman"/>
          <w:sz w:val="43"/>
          <w:szCs w:val="43"/>
          <w:color w:val="auto"/>
          <w:vertAlign w:val="subscript"/>
        </w:rPr>
      </w:pPr>
    </w:p>
    <w:p>
      <w:pPr>
        <w:ind w:left="920" w:right="40"/>
        <w:spacing w:after="0" w:line="249"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following percentages are based on the aggregate of: (i) 41,900,000 Class A Ordinary Shares issued and outstanding as of October 13, 2026 based upon the Issuer's Prospectus filed under Rule 424(b)(3) with the Securities and Exchange Commission on October 13, 2026, and (ii) 2,445,300 Class A Ordinary Shares underlying the call</w:t>
      </w:r>
    </w:p>
    <w:p>
      <w:pPr>
        <w:spacing w:after="0" w:line="1" w:lineRule="exact"/>
        <w:rPr>
          <w:rFonts w:ascii="Times New Roman" w:cs="Times New Roman" w:eastAsia="Times New Roman" w:hAnsi="Times New Roman"/>
          <w:sz w:val="43"/>
          <w:szCs w:val="43"/>
          <w:color w:val="auto"/>
          <w:vertAlign w:val="subscript"/>
        </w:rPr>
      </w:pPr>
    </w:p>
    <w:p>
      <w:pPr>
        <w:jc w:val="both"/>
        <w:ind w:left="920" w:right="180" w:hanging="912"/>
        <w:spacing w:after="0" w:line="241"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options held by the Reporting Persons. As of October 28, 2026, RichRich may be deemed to beneficially own less than 3.34% of the outstanding Class A Ordinary Shares. As of October 28, 2026, Huang Capital may be deemed to beneficially own approximately 1.38% of the outstanding Class A Ordinary Shares. As of October 28, 2026, Mr.</w:t>
      </w:r>
    </w:p>
    <w:p>
      <w:pPr>
        <w:spacing w:after="0" w:line="1" w:lineRule="exact"/>
        <w:rPr>
          <w:rFonts w:ascii="Times New Roman" w:cs="Times New Roman" w:eastAsia="Times New Roman" w:hAnsi="Times New Roman"/>
          <w:sz w:val="21"/>
          <w:szCs w:val="21"/>
          <w:color w:val="auto"/>
        </w:rPr>
      </w:pPr>
    </w:p>
    <w:p>
      <w:pPr>
        <w:ind w:left="920" w:right="10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Huang may be deemed to beneficially own approximately 5.51% of the outstanding Class A Ordinary Shares. As of September 30, 2026, the Reporting Person may be deemed to beneficially own approximately 6.70% of the outstanding Class A Ordinary Shares. %</w:t>
      </w:r>
    </w:p>
    <w:p>
      <w:pPr>
        <w:spacing w:after="0" w:line="15"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40"/>
          </w:cols>
          <w:pgMar w:left="360" w:top="112" w:right="4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Mr. Huang may be deemed to share voting and dispositive power over the Class A Ordinary Shares beneficially owned by RichRich and Huang Capital.</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 Previously Filed.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RichRich Capital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 Huang</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Rich Huang, Sole Member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Huang Capital Inc.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 Huang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Rich Huang, Chief Executive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Huang Rich</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 Huang</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500"/>
        <w:spacing w:after="0"/>
        <w:rPr>
          <w:sz w:val="20"/>
          <w:szCs w:val="20"/>
          <w:color w:val="auto"/>
        </w:rPr>
      </w:pPr>
      <w:r>
        <w:rPr>
          <w:rFonts w:ascii="Times New Roman" w:cs="Times New Roman" w:eastAsia="Times New Roman" w:hAnsi="Times New Roman"/>
          <w:sz w:val="21"/>
          <w:szCs w:val="21"/>
          <w:color w:val="auto"/>
        </w:rPr>
        <w:t>Name/Title: Rich Huang</w:t>
      </w:r>
    </w:p>
    <w:p>
      <w:pPr>
        <w:spacing w:after="0" w:line="56" w:lineRule="exact"/>
        <w:rPr>
          <w:sz w:val="20"/>
          <w:szCs w:val="20"/>
          <w:color w:val="auto"/>
        </w:rPr>
      </w:pPr>
    </w:p>
    <w:p>
      <w:pPr>
        <w:ind w:left="1500"/>
        <w:spacing w:after="0"/>
        <w:tabs>
          <w:tab w:leader="none" w:pos="2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2026-11-03T18:19:54Z</dcterms:created>
  <dcterms:modified xsi:type="dcterms:W3CDTF">2026-11-03T18:19:54Z</dcterms:modified>
</cp:coreProperties>
</file>